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20" w:rsidRDefault="00CB4B20" w:rsidP="00CB4B20">
      <w:pPr>
        <w:pStyle w:val="1"/>
        <w:spacing w:before="1575" w:beforeAutospacing="0" w:after="660" w:afterAutospacing="0" w:line="555" w:lineRule="atLeast"/>
        <w:rPr>
          <w:rFonts w:ascii="Arial" w:hAnsi="Arial" w:cs="Arial"/>
          <w:b w:val="0"/>
          <w:bCs w:val="0"/>
          <w:color w:val="020C22"/>
        </w:rPr>
      </w:pPr>
      <w:r>
        <w:rPr>
          <w:rFonts w:ascii="Arial" w:hAnsi="Arial" w:cs="Arial"/>
          <w:b w:val="0"/>
          <w:bCs w:val="0"/>
          <w:color w:val="020C22"/>
        </w:rPr>
        <w:t>Указ Президента Российской Федерации от 29.05.2020 г. № 344</w:t>
      </w:r>
    </w:p>
    <w:p w:rsidR="00CB4B20" w:rsidRDefault="00CB4B20" w:rsidP="00CB4B20">
      <w:pPr>
        <w:spacing w:line="420" w:lineRule="atLeast"/>
        <w:rPr>
          <w:rFonts w:ascii="Arial" w:hAnsi="Arial" w:cs="Arial"/>
          <w:color w:val="020C22"/>
          <w:sz w:val="30"/>
          <w:szCs w:val="30"/>
        </w:rPr>
      </w:pPr>
      <w:r>
        <w:rPr>
          <w:rFonts w:ascii="Arial" w:hAnsi="Arial" w:cs="Arial"/>
          <w:color w:val="020C22"/>
          <w:sz w:val="30"/>
          <w:szCs w:val="30"/>
        </w:rPr>
        <w:t>Об утверждении Стратегии противодействия экстремизму в Российской Федерации до 2025 года</w:t>
      </w:r>
    </w:p>
    <w:p w:rsidR="00CB4B20" w:rsidRDefault="00CB4B20" w:rsidP="00CB4B20">
      <w:pPr>
        <w:spacing w:line="240" w:lineRule="auto"/>
        <w:rPr>
          <w:rFonts w:ascii="Arial" w:hAnsi="Arial" w:cs="Arial"/>
          <w:color w:val="020C22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color w:val="606778"/>
            <w:sz w:val="20"/>
            <w:szCs w:val="20"/>
            <w:bdr w:val="none" w:sz="0" w:space="0" w:color="auto" w:frame="1"/>
          </w:rPr>
          <w:t>pravo.gov.ru</w:t>
        </w:r>
      </w:hyperlink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УКАЗ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ПРЕЗИДЕНТА РОССИЙСКОЙ ФЕДЕРАЦИИ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Об утверждении Стратегии противодействия экстремизму в Российской Федерации до 2025 года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Утвердить прилагаемую новую редакцию Стратегии противодействия экстремизму в Российской Федерации до 2025 года.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Настоящий Указ вступает в силу со дня его подписания.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Президент Российской Федерации                              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В.Путин</w:t>
      </w:r>
      <w:proofErr w:type="spellEnd"/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Москва, Кремль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29 мая 2020 года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№ 344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УТВЕРЖДЕНА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Указом Президента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Российской Федерации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от 29 мая 2020 г. № 344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СТРАТЕГИЯ</w:t>
      </w:r>
      <w:r>
        <w:rPr>
          <w:rFonts w:ascii="Arial" w:hAnsi="Arial" w:cs="Arial"/>
          <w:b w:val="0"/>
          <w:bCs w:val="0"/>
          <w:color w:val="2AC1A0"/>
        </w:rPr>
        <w:br/>
        <w:t>противодействия экстремизму в Российской Федерации до 2025 года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I. Общие положения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 25 июля 2002 г. № 114-ФЗ "О противодействии экстремистской деятельности" и Указа Президента Российской Федерации от 31 декабря 2015 г. № 683 "О Стратегии национальной безопасности Российской Федерации".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</w:t>
      </w:r>
      <w:r>
        <w:rPr>
          <w:rFonts w:ascii="Arial" w:hAnsi="Arial" w:cs="Arial"/>
          <w:color w:val="020C22"/>
          <w:sz w:val="26"/>
          <w:szCs w:val="26"/>
        </w:rPr>
        <w:lastRenderedPageBreak/>
        <w:t>Федерации, дестабилизацию внутриполитической и социальной обстановки в стране.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3. Правовую основу настоящей Стратегии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4. Для целей настоящей Стратегии используются следующие основные понятия: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идеология насилия 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радикализм 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экстремистская идеология 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г) проявления экстремизма (экстремистские проявления) - общественно опасные противоправные действия, совершаемые по мотивам политической, идеологической, расовой, национальной или религиозной </w:t>
      </w:r>
      <w:r>
        <w:rPr>
          <w:rFonts w:ascii="Arial" w:hAnsi="Arial" w:cs="Arial"/>
          <w:color w:val="020C22"/>
          <w:sz w:val="26"/>
          <w:szCs w:val="26"/>
        </w:rPr>
        <w:lastRenderedPageBreak/>
        <w:t>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субъекты противодействия экстремизму 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противодействие экстремизму 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II. Основные источники угроз экстремизма в современной России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5. 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6. 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7. 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8. 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обществе.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9. 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осуществлению.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10. 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 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11. 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12. 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13. 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14. 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15. 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16. 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17. Распространение экстремистской идеологии, в частности мнения о приемлемости насильственных действий для достижения поставленных </w:t>
      </w:r>
      <w:r>
        <w:rPr>
          <w:rFonts w:ascii="Arial" w:hAnsi="Arial" w:cs="Arial"/>
          <w:color w:val="020C22"/>
          <w:sz w:val="26"/>
          <w:szCs w:val="26"/>
        </w:rPr>
        <w:lastRenderedPageBreak/>
        <w:t>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18. 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19. 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20. 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21. 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22. Особую опасность представляют приверженцы радикальных течений ислама, в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частности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не относящиеся к представителям народов, </w:t>
      </w:r>
      <w:r>
        <w:rPr>
          <w:rFonts w:ascii="Arial" w:hAnsi="Arial" w:cs="Arial"/>
          <w:color w:val="020C22"/>
          <w:sz w:val="26"/>
          <w:szCs w:val="26"/>
        </w:rPr>
        <w:lastRenderedPageBreak/>
        <w:t>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23. 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24. 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25. 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26. 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27. 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осуществляемая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28. 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lastRenderedPageBreak/>
        <w:t>III. Цель, задачи и основные направления государственной политики в сфере противодействия экстремизму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29. 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30. 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31. Задачами государственной политики в сфере противодействия экстремизму являются: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создание единой государственной системы мониторинга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32. Основными направлениями государственной политики в сфере противодействия экстремизму являются: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в области законодательной деятельности: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проведение мониторинга правоприменительной практики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совершенствование законодательства Российской Федерации в сфере противодействия экстремизму в части, касающейся пресечения </w:t>
      </w:r>
      <w:r>
        <w:rPr>
          <w:rFonts w:ascii="Arial" w:hAnsi="Arial" w:cs="Arial"/>
          <w:color w:val="020C22"/>
          <w:sz w:val="26"/>
          <w:szCs w:val="26"/>
        </w:rPr>
        <w:lastRenderedPageBreak/>
        <w:t>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в области правоохранительной деятельности: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проведение профилактической работы с лицами, подверженными влиянию экстремистской идеологии;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в области государственной национальной политики:</w:t>
      </w:r>
    </w:p>
    <w:p w:rsidR="00CB4B20" w:rsidRDefault="00CB4B20" w:rsidP="00CB4B20">
      <w:pPr>
        <w:pStyle w:val="a3"/>
        <w:spacing w:before="0" w:beforeAutospacing="0" w:after="0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него предупреждения конфликтных ситуаций;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в области государственной миграционной политики: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развитие программ социальной и культурной адаптации иностранных граждан в Российской Федерации и их интеграции в общество, привлечение </w:t>
      </w:r>
      <w:r>
        <w:rPr>
          <w:rFonts w:ascii="Arial" w:hAnsi="Arial" w:cs="Arial"/>
          <w:color w:val="020C22"/>
          <w:sz w:val="26"/>
          <w:szCs w:val="26"/>
        </w:rPr>
        <w:lastRenderedPageBreak/>
        <w:t>к реализации и финансированию этих программ работодателей, получающих квоты на привлечение иностранной рабочей силы;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исключенности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отдельных групп граждан;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в области государственной информационной политики: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создание специализированного информационного банка данных экстремистских материалов;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проведение тематических встреч с представителями средств массовой информации и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интернет-сообщества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 целях противодействия распространению экстремистской идеологии;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информирование граждан о деятельности субъектов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в области образования и государственной молодежной политики: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проведение мониторинга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девиантного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выездом российских граждан для обучения в иностранных религиозных образовательных организациях;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проведение мероприятий по своевременному выявлению и пресечению фактов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радикализации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несовершеннолетних;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ж) в области государственной культурной политики: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формирование в Российской Федерации межконфессионального и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внутриконфессионального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взаимодействия в целях обеспечения гражданского мира и согласия;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содействие активному распространению идеи исторического единства народов Российской Федерации;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з) в области международного сотрудничества: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рств в сф</w:t>
      </w:r>
      <w:proofErr w:type="gramEnd"/>
      <w:r>
        <w:rPr>
          <w:rFonts w:ascii="Arial" w:hAnsi="Arial" w:cs="Arial"/>
          <w:color w:val="020C22"/>
          <w:sz w:val="26"/>
          <w:szCs w:val="26"/>
        </w:rPr>
        <w:t>ере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продвижение в двустороннем и многостороннем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форматах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организация взаимодействия компетентных органов государств - членов Шанхайской организации сотрудничества в рамках реализации Конвенции Шанхайской организации сотрудничества по противодействию экстремизму, </w:t>
      </w:r>
      <w:r>
        <w:rPr>
          <w:rFonts w:ascii="Arial" w:hAnsi="Arial" w:cs="Arial"/>
          <w:color w:val="020C22"/>
          <w:sz w:val="26"/>
          <w:szCs w:val="26"/>
        </w:rPr>
        <w:lastRenderedPageBreak/>
        <w:t>подписанной Российской Федерацией 9 июня 2017 г., а также принятие мер, направленных на присоединение к данной Конвенции других государств;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и) 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 w:after="15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lastRenderedPageBreak/>
        <w:t>IV. Инструменты и механизмы реализации настоящей Стратегии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33. Инструментами реализации настоящей Стратегии являются: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нормативные правовые акты Российской Федерации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документы стратегического планирования, разработанные на федеральном, региональном и муниципальном уровнях;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государственные программы в сфере противодействия экстремизму.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34. План мероприятий по реализации настоящей Стратегии разрабатывает и утверждает Правительство Российской Федерации.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35. 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36. Механизмами реализации настоящей Стратегии являются: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в) обеспечение принятия законодательных и иных нормативных правовых актов Российской Федерации, субъектов Российской Федерации и </w:t>
      </w:r>
      <w:r>
        <w:rPr>
          <w:rFonts w:ascii="Arial" w:hAnsi="Arial" w:cs="Arial"/>
          <w:color w:val="020C22"/>
          <w:sz w:val="26"/>
          <w:szCs w:val="26"/>
        </w:rPr>
        <w:lastRenderedPageBreak/>
        <w:t>муниципальных правовых актов, направленных на противодействие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ж) 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37. 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38. 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39. 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 </w:t>
      </w:r>
    </w:p>
    <w:p w:rsidR="00CB4B20" w:rsidRDefault="00CB4B20" w:rsidP="00CB4B20">
      <w:pPr>
        <w:pStyle w:val="4"/>
        <w:spacing w:before="0" w:after="15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V. Основные этапы реализации настоящей Стратегии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40. Реализация настоящей Стратегии осуществляется в два этапа.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41. На первом этапе реализации настоящей Стратегии планируется осуществить следующие мероприятия: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выполнение мероприятий, предусмотренных планом мероприятий по реализации настоящей Стратегии;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проведение мониторинга результатов, достигнутых при реализации настоящей Стратегии;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д) обеспечение вовлечения институтов гражданского общества в деятельность, направленную на противодействие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42. 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 </w:t>
      </w:r>
    </w:p>
    <w:p w:rsidR="00CB4B20" w:rsidRDefault="00CB4B20" w:rsidP="00CB4B20">
      <w:pPr>
        <w:pStyle w:val="4"/>
        <w:spacing w:before="0" w:after="15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VI. Целевые показатели реализации настоящей Стратегии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43. Целевыми показателями реализации настоящей Стратегии являются: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 25 июля 2002 г. № 114-ФЗ "О противодействии экстремистской деятельности";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44. Перечень целевых показателей реализации настоящей Стратегии может уточняться по результатам мониторинга ее реализации.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4"/>
        <w:spacing w:before="0" w:after="150"/>
        <w:ind w:left="2100" w:right="2100"/>
        <w:rPr>
          <w:rFonts w:ascii="Arial" w:hAnsi="Arial" w:cs="Arial"/>
          <w:b w:val="0"/>
          <w:bCs w:val="0"/>
          <w:color w:val="2AC1A0"/>
          <w:sz w:val="24"/>
          <w:szCs w:val="24"/>
        </w:rPr>
      </w:pPr>
      <w:r>
        <w:rPr>
          <w:rFonts w:ascii="Arial" w:hAnsi="Arial" w:cs="Arial"/>
          <w:b w:val="0"/>
          <w:bCs w:val="0"/>
          <w:color w:val="2AC1A0"/>
        </w:rPr>
        <w:t>VII. Ожидаемые результаты реализации настоящей Стратегии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lastRenderedPageBreak/>
        <w:t>45. Ожидаемыми результатами реализации настоящей Стратегии являются: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а) сокращение количества экстремистских угроз в Российской Федерации;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б) уменьшение доли преступлений насильственного характера в общем количестве преступлений экстремистской направленности;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в) недопущение распространения экстремистских материалов в средствах массовой информации и сети "Интернет";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г) повышение уровня взаимодействия субъектов противодействия экстремизму;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д) активное участие институтов гражданского общества в </w:t>
      </w:r>
      <w:proofErr w:type="spellStart"/>
      <w:r>
        <w:rPr>
          <w:rFonts w:ascii="Arial" w:hAnsi="Arial" w:cs="Arial"/>
          <w:color w:val="020C22"/>
          <w:sz w:val="26"/>
          <w:szCs w:val="26"/>
        </w:rPr>
        <w:t>проффилактике</w:t>
      </w:r>
      <w:proofErr w:type="spellEnd"/>
      <w:r>
        <w:rPr>
          <w:rFonts w:ascii="Arial" w:hAnsi="Arial" w:cs="Arial"/>
          <w:color w:val="020C22"/>
          <w:sz w:val="26"/>
          <w:szCs w:val="26"/>
        </w:rPr>
        <w:t xml:space="preserve"> и предупреждении экстремистских проявлений;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е) 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ж) повышение уровня защищенности граждан и общества от экстремистских проявлений.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46. 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CB4B20" w:rsidRDefault="00CB4B20" w:rsidP="00CB4B20">
      <w:pPr>
        <w:pStyle w:val="a3"/>
        <w:spacing w:before="0" w:beforeAutospacing="0" w:after="435" w:afterAutospacing="0" w:line="390" w:lineRule="atLeast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 </w:t>
      </w:r>
    </w:p>
    <w:p w:rsidR="00681D03" w:rsidRPr="00CB4B20" w:rsidRDefault="00681D03" w:rsidP="00CB4B20">
      <w:bookmarkStart w:id="0" w:name="_GoBack"/>
      <w:bookmarkEnd w:id="0"/>
    </w:p>
    <w:sectPr w:rsidR="00681D03" w:rsidRPr="00CB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69"/>
    <w:rsid w:val="00413F69"/>
    <w:rsid w:val="00681D03"/>
    <w:rsid w:val="00CB4B20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4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B4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4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B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96680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292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178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682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741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2024-02-16T03:19:00Z</dcterms:created>
  <dcterms:modified xsi:type="dcterms:W3CDTF">2024-02-16T03:19:00Z</dcterms:modified>
</cp:coreProperties>
</file>